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C50D3" w14:textId="77777777" w:rsidR="00F54D12" w:rsidRDefault="00F54D12" w:rsidP="00F54D12">
      <w:r>
        <w:t xml:space="preserve">                                                                                                                                     </w:t>
      </w:r>
    </w:p>
    <w:p w14:paraId="7D15B3DF" w14:textId="7F0B5475" w:rsidR="00F54D12" w:rsidRDefault="0018183C" w:rsidP="00F54D12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91F047" wp14:editId="64FC4A59">
            <wp:simplePos x="0" y="0"/>
            <wp:positionH relativeFrom="page">
              <wp:posOffset>2301240</wp:posOffset>
            </wp:positionH>
            <wp:positionV relativeFrom="paragraph">
              <wp:posOffset>191770</wp:posOffset>
            </wp:positionV>
            <wp:extent cx="1821180" cy="1379220"/>
            <wp:effectExtent l="0" t="0" r="7620" b="0"/>
            <wp:wrapSquare wrapText="bothSides"/>
            <wp:docPr id="2" name="Obraz 2" descr="D:\SON FATHER FOTO\82669-casino-cc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D:\SON FATHER FOTO\82669-casino-cct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D12">
        <w:t xml:space="preserve"> </w:t>
      </w:r>
      <w:r w:rsidR="00F54D12" w:rsidRPr="00F54D12">
        <w:t xml:space="preserve"> </w:t>
      </w:r>
      <w:r w:rsidR="00766AF8">
        <w:t xml:space="preserve">Krzeszowice, </w:t>
      </w:r>
      <w:r w:rsidR="00667594">
        <w:t xml:space="preserve">6 </w:t>
      </w:r>
      <w:r w:rsidR="004D4BCF">
        <w:t>maj</w:t>
      </w:r>
      <w:r w:rsidR="00BA4071">
        <w:t>a</w:t>
      </w:r>
      <w:r w:rsidR="00766AF8">
        <w:t xml:space="preserve"> </w:t>
      </w:r>
      <w:r w:rsidR="004D4BCF">
        <w:t xml:space="preserve">2022 </w:t>
      </w:r>
      <w:r w:rsidR="00F54D12">
        <w:t>r.</w:t>
      </w:r>
    </w:p>
    <w:p w14:paraId="44A270B7" w14:textId="77777777" w:rsidR="00B82414" w:rsidRDefault="00B82414" w:rsidP="00B824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1"/>
          <w:szCs w:val="21"/>
          <w:lang w:eastAsia="pl-PL"/>
        </w:rPr>
      </w:pPr>
    </w:p>
    <w:p w14:paraId="26CAFC51" w14:textId="1D04E7CF" w:rsidR="00F54D12" w:rsidRDefault="00F54D12" w:rsidP="00B82414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14:paraId="543E6F1D" w14:textId="77777777" w:rsidR="00F54D12" w:rsidRDefault="00F54D12" w:rsidP="00B82414">
      <w:pPr>
        <w:spacing w:after="0"/>
        <w:jc w:val="center"/>
        <w:rPr>
          <w:b/>
          <w:sz w:val="32"/>
          <w:szCs w:val="32"/>
        </w:rPr>
      </w:pPr>
    </w:p>
    <w:p w14:paraId="2AA5B32A" w14:textId="77777777" w:rsidR="00F54D12" w:rsidRDefault="00F54D12" w:rsidP="0018183C">
      <w:pPr>
        <w:spacing w:after="0"/>
        <w:rPr>
          <w:b/>
          <w:sz w:val="32"/>
          <w:szCs w:val="32"/>
        </w:rPr>
      </w:pPr>
    </w:p>
    <w:p w14:paraId="410EADD2" w14:textId="77777777" w:rsidR="00F54D12" w:rsidRDefault="00F54D12" w:rsidP="0018183C">
      <w:pPr>
        <w:spacing w:after="0"/>
        <w:rPr>
          <w:b/>
          <w:sz w:val="32"/>
          <w:szCs w:val="32"/>
        </w:rPr>
      </w:pPr>
    </w:p>
    <w:p w14:paraId="3C993B3F" w14:textId="77777777" w:rsidR="0018183C" w:rsidRDefault="0018183C" w:rsidP="00B82414">
      <w:pPr>
        <w:spacing w:after="0"/>
        <w:jc w:val="center"/>
        <w:rPr>
          <w:b/>
          <w:sz w:val="32"/>
          <w:szCs w:val="32"/>
        </w:rPr>
      </w:pPr>
    </w:p>
    <w:p w14:paraId="6B2F30BF" w14:textId="5BD2AF3A" w:rsidR="00B82414" w:rsidRPr="00023CC8" w:rsidRDefault="00B82414" w:rsidP="00B82414">
      <w:pPr>
        <w:spacing w:after="0"/>
        <w:jc w:val="center"/>
        <w:rPr>
          <w:b/>
          <w:sz w:val="32"/>
          <w:szCs w:val="32"/>
        </w:rPr>
      </w:pPr>
      <w:r w:rsidRPr="00023CC8">
        <w:rPr>
          <w:b/>
          <w:sz w:val="32"/>
          <w:szCs w:val="32"/>
        </w:rPr>
        <w:t>KLAUZULA INFORMACYJNA – MONITORING WIZYJNY</w:t>
      </w:r>
    </w:p>
    <w:p w14:paraId="0C6DF8F7" w14:textId="77777777" w:rsidR="00B82414" w:rsidRDefault="00B82414" w:rsidP="00B824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1"/>
          <w:szCs w:val="21"/>
          <w:lang w:eastAsia="pl-PL"/>
        </w:rPr>
      </w:pPr>
    </w:p>
    <w:p w14:paraId="71F4CCA8" w14:textId="77777777" w:rsidR="00B82414" w:rsidRPr="00CC65BF" w:rsidRDefault="00B82414" w:rsidP="00B82414">
      <w:pPr>
        <w:spacing w:after="0" w:line="240" w:lineRule="auto"/>
        <w:jc w:val="both"/>
        <w:rPr>
          <w:rFonts w:cs="Times New Roman"/>
        </w:rPr>
      </w:pPr>
      <w:r w:rsidRPr="00CC65BF">
        <w:rPr>
          <w:rFonts w:cs="Times New Roman"/>
        </w:rPr>
        <w:t xml:space="preserve">Zgodnie z zapisami Rozporządzenia Parlamentu Europejskiego i Rady (UE) 2016/679  z dnia 27 kwietnia 2016r. w sprawie ochrony osób fizycznych w związku z przetwarzaniem danych osobowych </w:t>
      </w:r>
      <w:r w:rsidRPr="00CC65BF">
        <w:rPr>
          <w:rFonts w:cs="Times New Roman"/>
        </w:rPr>
        <w:br/>
        <w:t>i w sprawie swobodnego przepływu takich danych oraz uchylenia dyrektywy 95/46/WE (ogólne rozporządzenie o ochronie danych - Dz. Urz. UE L 119 z 04.05.2016), zwanego RODO informuję, że:</w:t>
      </w:r>
    </w:p>
    <w:p w14:paraId="575C3A52" w14:textId="77777777" w:rsidR="00B82414" w:rsidRPr="00CC65BF" w:rsidRDefault="00B82414" w:rsidP="00B824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65BF">
        <w:rPr>
          <w:rFonts w:eastAsia="Times New Roman" w:cstheme="minorHAnsi"/>
          <w:lang w:eastAsia="pl-PL"/>
        </w:rPr>
        <w:t xml:space="preserve">Administratorem systemu monitoringu jest Ośrodek Rehabilitacji Narządu Ruchu „Krzeszowice” SPZOZ z siedzibą: 32-065 Krzeszowice, ul. Daszyńskiego 1, tel. </w:t>
      </w:r>
      <w:r>
        <w:rPr>
          <w:rFonts w:eastAsia="Times New Roman" w:cstheme="minorHAnsi"/>
          <w:lang w:eastAsia="pl-PL"/>
        </w:rPr>
        <w:t>12 258 96 00.</w:t>
      </w:r>
    </w:p>
    <w:p w14:paraId="08364E35" w14:textId="7A7F4523" w:rsidR="00B82414" w:rsidRPr="00B82414" w:rsidRDefault="00B82414" w:rsidP="00B82414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cstheme="minorHAnsi"/>
        </w:rPr>
      </w:pPr>
      <w:r w:rsidRPr="00365647">
        <w:rPr>
          <w:rFonts w:cstheme="minorHAnsi"/>
        </w:rPr>
        <w:t>Na mocy art. 37 ust. 1 lit. a RODO Administrator powołał Inspektora Ochrony Danych (IOD), który w jego imieniu nadzoruje sferę przetwarzania danych osobowych. Z IOD można kontakto</w:t>
      </w:r>
      <w:r>
        <w:rPr>
          <w:rFonts w:cstheme="minorHAnsi"/>
        </w:rPr>
        <w:t xml:space="preserve">wać się pod adresem mailowym </w:t>
      </w:r>
      <w:r w:rsidR="006C6460">
        <w:rPr>
          <w:rFonts w:cstheme="minorHAnsi"/>
        </w:rPr>
        <w:t>nedzaodo@interia.pl</w:t>
      </w:r>
      <w:r>
        <w:rPr>
          <w:rFonts w:cstheme="minorHAnsi"/>
        </w:rPr>
        <w:t>.</w:t>
      </w:r>
    </w:p>
    <w:p w14:paraId="266308BE" w14:textId="77777777" w:rsidR="00B82414" w:rsidRPr="00CC65BF" w:rsidRDefault="00B82414" w:rsidP="00B8241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 xml:space="preserve">Monitoring stosowany jest w celu ochrony mienia oraz zapewnienia bezpieczeństwa na terenie szpitala. Obszar monitorowany:  </w:t>
      </w:r>
    </w:p>
    <w:p w14:paraId="4053316C" w14:textId="77777777" w:rsidR="00B82414" w:rsidRPr="00CC65BF" w:rsidRDefault="00B82414" w:rsidP="00B82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>wejście główne do Ośrodka od zewnątrz i wewnątrz z częścią korytarza prowadzącego do pawilonu zabiegowego;</w:t>
      </w:r>
    </w:p>
    <w:p w14:paraId="529BD240" w14:textId="77777777" w:rsidR="00B82414" w:rsidRPr="00CC65BF" w:rsidRDefault="00B82414" w:rsidP="00B82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>budynek „Zofia” (parter) – hall przy rejestracji oraz korytarz w stronę nowego budynku;</w:t>
      </w:r>
    </w:p>
    <w:p w14:paraId="3EDDCF2C" w14:textId="77777777" w:rsidR="00B82414" w:rsidRPr="00CC65BF" w:rsidRDefault="00B82414" w:rsidP="00B82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>budynek „Zofia” (1 piętro) – korytarz prowadzący w stronę Nowego Budynku;</w:t>
      </w:r>
    </w:p>
    <w:p w14:paraId="5E61905E" w14:textId="77777777" w:rsidR="00B82414" w:rsidRPr="00CC65BF" w:rsidRDefault="00B82414" w:rsidP="00B82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 xml:space="preserve"> nowy budynek (parter, 1 piętro, 2 piętro) – korytarz;</w:t>
      </w:r>
    </w:p>
    <w:p w14:paraId="5FEC47A1" w14:textId="77777777" w:rsidR="00B82414" w:rsidRPr="00CC65BF" w:rsidRDefault="00B82414" w:rsidP="00B82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>pawilon „D” (parter) – korytarz; wyjście do parku z pawilonu „D”;</w:t>
      </w:r>
    </w:p>
    <w:p w14:paraId="0684D165" w14:textId="77777777" w:rsidR="00B82414" w:rsidRPr="00CC65BF" w:rsidRDefault="00B82414" w:rsidP="00B82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 xml:space="preserve"> droga dojazdowa do parkingu wewnętrznego w kierunku bramy wjazdowej;</w:t>
      </w:r>
    </w:p>
    <w:p w14:paraId="3061C45E" w14:textId="77777777" w:rsidR="00B82414" w:rsidRPr="005F7178" w:rsidRDefault="00B82414" w:rsidP="001818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CC65BF">
        <w:rPr>
          <w:rFonts w:ascii="Calibri" w:eastAsia="Times New Roman" w:hAnsi="Calibri" w:cs="Calibri"/>
          <w:lang w:eastAsia="pl-PL"/>
        </w:rPr>
        <w:t>teren przyległy bezpośrednio do zewnętrznego agregatu prądotwórczego.</w:t>
      </w:r>
    </w:p>
    <w:p w14:paraId="2F124A03" w14:textId="46188905" w:rsidR="005F7178" w:rsidRPr="00CC65BF" w:rsidRDefault="005F7178" w:rsidP="001818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ascii="Calibri" w:eastAsia="Times New Roman" w:hAnsi="Calibri" w:cs="Calibri"/>
          <w:color w:val="FF0000"/>
          <w:lang w:eastAsia="pl-PL"/>
        </w:rPr>
      </w:pPr>
      <w:r>
        <w:rPr>
          <w:rFonts w:ascii="Calibri" w:eastAsia="Times New Roman" w:hAnsi="Calibri" w:cs="Calibri"/>
          <w:lang w:eastAsia="pl-PL"/>
        </w:rPr>
        <w:t>monitoring wizyjny terenu budowy</w:t>
      </w:r>
    </w:p>
    <w:p w14:paraId="31B7183A" w14:textId="78B00ECA" w:rsidR="00B82414" w:rsidRPr="0018183C" w:rsidRDefault="00B82414" w:rsidP="0018183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8183C">
        <w:rPr>
          <w:rFonts w:asciiTheme="minorHAnsi" w:hAnsiTheme="minorHAnsi" w:cstheme="minorHAnsi"/>
          <w:sz w:val="22"/>
          <w:szCs w:val="22"/>
        </w:rPr>
        <w:t>Zapisy z monitoringu  przechowywane będą przez 21 dni.</w:t>
      </w:r>
      <w:r w:rsidR="0018183C" w:rsidRPr="0018183C">
        <w:rPr>
          <w:rFonts w:asciiTheme="minorHAnsi" w:hAnsiTheme="minorHAnsi" w:cstheme="minorHAnsi"/>
          <w:sz w:val="22"/>
          <w:szCs w:val="22"/>
        </w:rPr>
        <w:t xml:space="preserve"> W przypadku, w którym nagrania obrazu stanowią dowód w postępowaniu prowadzonym na podstawie prawa lub Administrator powziął wiadomość, iż mogą one stanowić dowód w postępowaniu, termin przechowywania ulega przedłużeniu do czasu prawomocnego zakończenia postępowania</w:t>
      </w:r>
      <w:r w:rsidR="0018183C" w:rsidRPr="00B251A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ED1079" w14:textId="77777777" w:rsidR="0018183C" w:rsidRPr="0018183C" w:rsidRDefault="0018183C" w:rsidP="0018183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8183C">
        <w:rPr>
          <w:rFonts w:asciiTheme="minorHAnsi" w:hAnsiTheme="minorHAnsi" w:cstheme="minorHAnsi"/>
          <w:sz w:val="22"/>
          <w:szCs w:val="22"/>
        </w:rPr>
        <w:t>Do przeglądania zarejestrowanego obrazu mogą zostać dopuszczeni jedynie upoważnieni pracownicy. Osoby wyznaczone otrzymują imienne upoważnienia do czynności związanych z monitoringiem. Dopuszcza się dostęp do zarejestrowanego obrazu przez pracowników firm serwisujących system monitoringu, na podstawie umowy pwierzenia.</w:t>
      </w:r>
    </w:p>
    <w:p w14:paraId="582926E3" w14:textId="1847855E" w:rsidR="00B82414" w:rsidRPr="0018183C" w:rsidRDefault="0018183C" w:rsidP="00B824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183C">
        <w:rPr>
          <w:rFonts w:cstheme="minorHAnsi"/>
        </w:rPr>
        <w:t>Dane zarejestrowane na nośniku mogą być udostępniane wyłącznie upoważnionym instytucjom w zakresie prowadzonych przez nie spraw czy postępowań (np. Policji, Sądom, Prokuraturom oraz innym podmiotom prowadzącym czynności dochodzeniowo-śledcze), na podstawie pisemnego wniosku</w:t>
      </w:r>
      <w:r>
        <w:rPr>
          <w:rFonts w:cstheme="minorHAnsi"/>
        </w:rPr>
        <w:t>.</w:t>
      </w:r>
    </w:p>
    <w:p w14:paraId="3DC5A6AF" w14:textId="61B23753" w:rsidR="00B82414" w:rsidRPr="0018183C" w:rsidRDefault="0018183C" w:rsidP="0018183C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183C">
        <w:rPr>
          <w:rFonts w:asciiTheme="minorHAnsi" w:hAnsiTheme="minorHAnsi" w:cstheme="minorHAnsi"/>
        </w:rPr>
        <w:t xml:space="preserve">Zapis monitoringu nie może być udostępniony wszystkim osobom bezpośrednio zainteresowanym wyjaśnieniem zdarzenia, ze względu na brak możliwości </w:t>
      </w:r>
      <w:proofErr w:type="spellStart"/>
      <w:r w:rsidRPr="0018183C">
        <w:rPr>
          <w:rFonts w:asciiTheme="minorHAnsi" w:hAnsiTheme="minorHAnsi" w:cstheme="minorHAnsi"/>
        </w:rPr>
        <w:t>anonimizacji</w:t>
      </w:r>
      <w:proofErr w:type="spellEnd"/>
      <w:r w:rsidRPr="0018183C">
        <w:rPr>
          <w:rFonts w:asciiTheme="minorHAnsi" w:hAnsiTheme="minorHAnsi" w:cstheme="minorHAnsi"/>
        </w:rPr>
        <w:t xml:space="preserve"> innych zarejestrowanych przez system monitoringu osób, których ujawnienie mogłoby doprowadzić do naruszenia ich praw i wolności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9867B5" w14:textId="77777777" w:rsidR="00B82414" w:rsidRPr="00CC65BF" w:rsidRDefault="00B82414" w:rsidP="00B82414">
      <w:pPr>
        <w:numPr>
          <w:ilvl w:val="0"/>
          <w:numId w:val="1"/>
        </w:numPr>
        <w:shd w:val="clear" w:color="auto" w:fill="FFFFFF"/>
        <w:spacing w:after="0" w:line="248" w:lineRule="atLeast"/>
        <w:jc w:val="both"/>
        <w:rPr>
          <w:rFonts w:cstheme="minorHAnsi"/>
          <w:color w:val="141414"/>
        </w:rPr>
      </w:pPr>
      <w:r w:rsidRPr="00CC65BF">
        <w:rPr>
          <w:rFonts w:ascii="Calibri" w:hAnsi="Calibri" w:cs="Calibri"/>
          <w:color w:val="141414"/>
        </w:rPr>
        <w:t>Każdemu, kto uzna, że</w:t>
      </w:r>
      <w:r w:rsidRPr="00CC65BF">
        <w:rPr>
          <w:rFonts w:cstheme="minorHAnsi"/>
          <w:color w:val="141414"/>
        </w:rPr>
        <w:t xml:space="preserve"> przetwarzanie danych osobowych narusza przepisy RODO przysługuje prawo wniesienia skargi do Prezesa </w:t>
      </w:r>
      <w:r w:rsidR="00F54D12">
        <w:rPr>
          <w:rFonts w:cstheme="minorHAnsi"/>
          <w:color w:val="141414"/>
        </w:rPr>
        <w:t>Urzędu Ochrony Danych Osobowych.</w:t>
      </w:r>
    </w:p>
    <w:p w14:paraId="2E9509EB" w14:textId="78D4CFD2" w:rsidR="00B82414" w:rsidRPr="0018183C" w:rsidRDefault="00B82414" w:rsidP="0018183C">
      <w:pPr>
        <w:shd w:val="clear" w:color="auto" w:fill="FFFFFF"/>
        <w:spacing w:after="0" w:line="248" w:lineRule="atLeast"/>
        <w:ind w:left="360"/>
        <w:jc w:val="both"/>
        <w:rPr>
          <w:rFonts w:cstheme="minorHAnsi"/>
          <w:color w:val="141414"/>
        </w:rPr>
      </w:pPr>
    </w:p>
    <w:p w14:paraId="26AA43B4" w14:textId="77777777" w:rsidR="00B82DF7" w:rsidRDefault="00BA4071"/>
    <w:p w14:paraId="6CF4273B" w14:textId="77777777" w:rsidR="00F54D12" w:rsidRDefault="00F54D12"/>
    <w:sectPr w:rsidR="00F54D12" w:rsidSect="00CC65B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738"/>
    <w:multiLevelType w:val="hybridMultilevel"/>
    <w:tmpl w:val="33023A44"/>
    <w:lvl w:ilvl="0" w:tplc="9B6AB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45C3"/>
    <w:multiLevelType w:val="hybridMultilevel"/>
    <w:tmpl w:val="012A095E"/>
    <w:lvl w:ilvl="0" w:tplc="B47ED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C1F53"/>
    <w:multiLevelType w:val="multilevel"/>
    <w:tmpl w:val="D3A4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C7EBA"/>
    <w:multiLevelType w:val="hybridMultilevel"/>
    <w:tmpl w:val="AC9C658E"/>
    <w:lvl w:ilvl="0" w:tplc="709A3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4"/>
    <w:rsid w:val="0018183C"/>
    <w:rsid w:val="004D4BCF"/>
    <w:rsid w:val="004F09D7"/>
    <w:rsid w:val="005F7178"/>
    <w:rsid w:val="00667594"/>
    <w:rsid w:val="006C6460"/>
    <w:rsid w:val="00766AF8"/>
    <w:rsid w:val="009F6292"/>
    <w:rsid w:val="00B82414"/>
    <w:rsid w:val="00BA4071"/>
    <w:rsid w:val="00CD29A8"/>
    <w:rsid w:val="00F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92C3"/>
  <w15:chartTrackingRefBased/>
  <w15:docId w15:val="{70281808-C4D7-41EB-BB89-28A86B8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414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183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customStyle="1" w:styleId="Standard">
    <w:name w:val="Standard"/>
    <w:rsid w:val="001818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Konto Microsoft</cp:lastModifiedBy>
  <cp:revision>9</cp:revision>
  <cp:lastPrinted>2018-09-18T09:25:00Z</cp:lastPrinted>
  <dcterms:created xsi:type="dcterms:W3CDTF">2018-09-18T09:15:00Z</dcterms:created>
  <dcterms:modified xsi:type="dcterms:W3CDTF">2022-05-06T12:34:00Z</dcterms:modified>
</cp:coreProperties>
</file>